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18B4F1" w14:textId="7A18F35E" w:rsidR="007136ED" w:rsidRPr="0006129B" w:rsidRDefault="0006129B">
      <w:pPr>
        <w:spacing w:before="120" w:after="240" w:line="300" w:lineRule="auto"/>
        <w:jc w:val="both"/>
        <w:rPr>
          <w:rFonts w:ascii="Open Sans" w:eastAsia="Verdana" w:hAnsi="Open Sans" w:cs="Open Sans"/>
          <w:b/>
          <w:sz w:val="24"/>
          <w:szCs w:val="24"/>
        </w:rPr>
      </w:pPr>
      <w:r w:rsidRPr="0006129B">
        <w:rPr>
          <w:rFonts w:ascii="Open Sans" w:eastAsia="Verdana" w:hAnsi="Open Sans" w:cs="Open Sans"/>
          <w:b/>
          <w:sz w:val="28"/>
          <w:szCs w:val="28"/>
        </w:rPr>
        <w:t xml:space="preserve">Brexit : </w:t>
      </w:r>
      <w:r w:rsidR="00383401" w:rsidRPr="0006129B">
        <w:rPr>
          <w:rFonts w:ascii="Open Sans" w:eastAsia="Verdana" w:hAnsi="Open Sans" w:cs="Open Sans"/>
          <w:b/>
          <w:sz w:val="28"/>
          <w:szCs w:val="28"/>
        </w:rPr>
        <w:t xml:space="preserve">Deal ou No Deal ? - </w:t>
      </w:r>
      <w:r w:rsidRPr="0006129B">
        <w:rPr>
          <w:rFonts w:ascii="Open Sans" w:eastAsia="Verdana" w:hAnsi="Open Sans" w:cs="Open Sans"/>
          <w:b/>
          <w:sz w:val="28"/>
          <w:szCs w:val="28"/>
        </w:rPr>
        <w:t>Ce qui attend la classe moyenne</w:t>
      </w:r>
    </w:p>
    <w:p w14:paraId="02E2673C" w14:textId="77777777" w:rsidR="007136ED" w:rsidRPr="0006129B" w:rsidRDefault="00383401">
      <w:pPr>
        <w:spacing w:before="120" w:after="240" w:line="300" w:lineRule="auto"/>
        <w:jc w:val="both"/>
        <w:rPr>
          <w:rFonts w:ascii="Open Sans" w:eastAsia="Verdana" w:hAnsi="Open Sans" w:cs="Open Sans"/>
          <w:i/>
          <w:sz w:val="24"/>
          <w:szCs w:val="24"/>
        </w:rPr>
      </w:pPr>
      <w:r w:rsidRPr="0006129B">
        <w:rPr>
          <w:rFonts w:ascii="Open Sans" w:hAnsi="Open Sans" w:cs="Open Sans"/>
          <w:i/>
          <w:noProof/>
          <w:sz w:val="24"/>
          <w:szCs w:val="24"/>
        </w:rPr>
        <w:drawing>
          <wp:inline distT="114300" distB="114300" distL="114300" distR="114300" wp14:anchorId="6E8912E7" wp14:editId="1BA71850">
            <wp:extent cx="5734050" cy="3822700"/>
            <wp:effectExtent l="0" t="0" r="0" b="0"/>
            <wp:docPr id="2" name="image1.png" descr="stux - pixabay.com"/>
            <wp:cNvGraphicFramePr/>
            <a:graphic xmlns:a="http://schemas.openxmlformats.org/drawingml/2006/main">
              <a:graphicData uri="http://schemas.openxmlformats.org/drawingml/2006/picture">
                <pic:pic xmlns:pic="http://schemas.openxmlformats.org/drawingml/2006/picture">
                  <pic:nvPicPr>
                    <pic:cNvPr id="0" name="image1.png" descr="stux - pixabay.com"/>
                    <pic:cNvPicPr preferRelativeResize="0"/>
                  </pic:nvPicPr>
                  <pic:blipFill>
                    <a:blip r:embed="rId6"/>
                    <a:srcRect/>
                    <a:stretch>
                      <a:fillRect/>
                    </a:stretch>
                  </pic:blipFill>
                  <pic:spPr>
                    <a:xfrm>
                      <a:off x="0" y="0"/>
                      <a:ext cx="5734050" cy="3822700"/>
                    </a:xfrm>
                    <a:prstGeom prst="rect">
                      <a:avLst/>
                    </a:prstGeom>
                    <a:ln/>
                  </pic:spPr>
                </pic:pic>
              </a:graphicData>
            </a:graphic>
          </wp:inline>
        </w:drawing>
      </w:r>
      <w:r w:rsidRPr="0006129B">
        <w:rPr>
          <w:rFonts w:ascii="Open Sans" w:hAnsi="Open Sans" w:cs="Open Sans"/>
          <w:i/>
          <w:sz w:val="24"/>
          <w:szCs w:val="24"/>
        </w:rPr>
        <w:t xml:space="preserve">© </w:t>
      </w:r>
      <w:proofErr w:type="spellStart"/>
      <w:r w:rsidRPr="0006129B">
        <w:rPr>
          <w:rFonts w:ascii="Open Sans" w:hAnsi="Open Sans" w:cs="Open Sans"/>
          <w:i/>
          <w:sz w:val="24"/>
          <w:szCs w:val="24"/>
        </w:rPr>
        <w:t>stux</w:t>
      </w:r>
      <w:proofErr w:type="spellEnd"/>
      <w:r w:rsidRPr="0006129B">
        <w:rPr>
          <w:rFonts w:ascii="Open Sans" w:hAnsi="Open Sans" w:cs="Open Sans"/>
          <w:i/>
          <w:sz w:val="24"/>
          <w:szCs w:val="24"/>
        </w:rPr>
        <w:t xml:space="preserve"> - pixabay.com</w:t>
      </w:r>
    </w:p>
    <w:p w14:paraId="429F0891" w14:textId="77777777" w:rsidR="007136ED" w:rsidRPr="0006129B" w:rsidRDefault="00383401">
      <w:pPr>
        <w:spacing w:before="120" w:after="240" w:line="300" w:lineRule="auto"/>
        <w:jc w:val="both"/>
        <w:rPr>
          <w:rFonts w:ascii="Open Sans" w:eastAsia="Verdana" w:hAnsi="Open Sans" w:cs="Open Sans"/>
          <w:i/>
          <w:sz w:val="24"/>
          <w:szCs w:val="24"/>
        </w:rPr>
      </w:pPr>
      <w:r w:rsidRPr="0006129B">
        <w:rPr>
          <w:rFonts w:ascii="Open Sans" w:hAnsi="Open Sans" w:cs="Open Sans"/>
          <w:i/>
          <w:sz w:val="24"/>
          <w:szCs w:val="24"/>
        </w:rPr>
        <w:t>Un Brexit qui n’en finit pas. Après que Bruxelles et Londres se sont accordés sur une prolongation du délai jusqu’à fin octobre, les négociations continuent. Mais le scénario du No Deal n’est toujours pas écarté. Les PME</w:t>
      </w:r>
      <w:r w:rsidRPr="0006129B">
        <w:rPr>
          <w:rFonts w:ascii="Open Sans" w:hAnsi="Open Sans" w:cs="Open Sans"/>
          <w:sz w:val="24"/>
          <w:szCs w:val="24"/>
        </w:rPr>
        <w:t xml:space="preserve"> </w:t>
      </w:r>
      <w:r w:rsidRPr="0006129B">
        <w:rPr>
          <w:rFonts w:ascii="Open Sans" w:hAnsi="Open Sans" w:cs="Open Sans"/>
          <w:i/>
          <w:sz w:val="24"/>
          <w:szCs w:val="24"/>
        </w:rPr>
        <w:t xml:space="preserve">souffrent de cette indécision – et </w:t>
      </w:r>
      <w:r w:rsidRPr="0006129B">
        <w:rPr>
          <w:rFonts w:ascii="Open Sans" w:hAnsi="Open Sans" w:cs="Open Sans"/>
          <w:i/>
          <w:sz w:val="24"/>
          <w:szCs w:val="24"/>
        </w:rPr>
        <w:t>se montrent étonnamment résiliente.</w:t>
      </w:r>
    </w:p>
    <w:p w14:paraId="6A187D1D" w14:textId="77777777" w:rsidR="007136ED" w:rsidRPr="0006129B" w:rsidRDefault="00383401">
      <w:pPr>
        <w:spacing w:before="120" w:after="120" w:line="300" w:lineRule="auto"/>
        <w:jc w:val="both"/>
        <w:rPr>
          <w:rFonts w:ascii="Open Sans" w:eastAsia="Verdana" w:hAnsi="Open Sans" w:cs="Open Sans"/>
          <w:sz w:val="24"/>
          <w:szCs w:val="24"/>
        </w:rPr>
      </w:pPr>
      <w:r w:rsidRPr="0006129B">
        <w:rPr>
          <w:rFonts w:ascii="Open Sans" w:hAnsi="Open Sans" w:cs="Open Sans"/>
          <w:sz w:val="24"/>
          <w:szCs w:val="24"/>
        </w:rPr>
        <w:t xml:space="preserve">Si l’économie était 50% de psychologie, les nerfs des PME devraient être à vif. Car les conditions économiques globales de 2019 sont suffisamment difficiles, même sans Brexit : des puissances commerciales qui s’assènent </w:t>
      </w:r>
      <w:r w:rsidRPr="0006129B">
        <w:rPr>
          <w:rFonts w:ascii="Open Sans" w:hAnsi="Open Sans" w:cs="Open Sans"/>
          <w:sz w:val="24"/>
          <w:szCs w:val="24"/>
        </w:rPr>
        <w:t>des amendes douanières, une croissance chinoise qui ralentit, le poids de la dette italienne - pour ne citer que les risques majeurs. Et pour couronner le tout, l’éventualité d’un Brexit sans accord. Précipitera-t-il le Royaume Uni dans une récession ? Qu’</w:t>
      </w:r>
      <w:r w:rsidRPr="0006129B">
        <w:rPr>
          <w:rFonts w:ascii="Open Sans" w:hAnsi="Open Sans" w:cs="Open Sans"/>
          <w:sz w:val="24"/>
          <w:szCs w:val="24"/>
        </w:rPr>
        <w:t>attend les PME ? Et comment les entreprises gèrent-elles cette incertitude ?</w:t>
      </w:r>
    </w:p>
    <w:p w14:paraId="4884BB98" w14:textId="77777777" w:rsidR="007136ED" w:rsidRPr="0006129B" w:rsidRDefault="00383401">
      <w:pPr>
        <w:spacing w:before="120" w:after="120" w:line="300" w:lineRule="auto"/>
        <w:jc w:val="both"/>
        <w:rPr>
          <w:rFonts w:ascii="Open Sans" w:eastAsia="Verdana" w:hAnsi="Open Sans" w:cs="Open Sans"/>
          <w:sz w:val="24"/>
          <w:szCs w:val="24"/>
        </w:rPr>
      </w:pPr>
      <w:bookmarkStart w:id="0" w:name="_gjdgxs" w:colFirst="0" w:colLast="0"/>
      <w:bookmarkEnd w:id="0"/>
      <w:r w:rsidRPr="0006129B">
        <w:rPr>
          <w:rFonts w:ascii="Open Sans" w:hAnsi="Open Sans" w:cs="Open Sans"/>
          <w:sz w:val="24"/>
          <w:szCs w:val="24"/>
        </w:rPr>
        <w:t xml:space="preserve">Le secteur des machines d’occasion est rarement au centre de l’attention. C’est peut-être parce qu’il est complètement marqué par des entreprises de taille moyenne. Même les gros </w:t>
      </w:r>
      <w:r w:rsidRPr="0006129B">
        <w:rPr>
          <w:rFonts w:ascii="Open Sans" w:hAnsi="Open Sans" w:cs="Open Sans"/>
          <w:sz w:val="24"/>
          <w:szCs w:val="24"/>
        </w:rPr>
        <w:t xml:space="preserve">acteurs du marché, comme le revendeur industriel </w:t>
      </w:r>
      <w:r w:rsidRPr="0006129B">
        <w:rPr>
          <w:rFonts w:ascii="Open Sans" w:hAnsi="Open Sans" w:cs="Open Sans"/>
          <w:sz w:val="24"/>
          <w:szCs w:val="24"/>
        </w:rPr>
        <w:lastRenderedPageBreak/>
        <w:t>Surplex, n’ont qu’environ 200 collaborateurs pour un chiffre d’affaires annuel de près de 100 M€. Mais toutes les entreprises du secteur, même les petits marchands et petites maisons de ventes aux enchères i</w:t>
      </w:r>
      <w:r w:rsidRPr="0006129B">
        <w:rPr>
          <w:rFonts w:ascii="Open Sans" w:hAnsi="Open Sans" w:cs="Open Sans"/>
          <w:sz w:val="24"/>
          <w:szCs w:val="24"/>
        </w:rPr>
        <w:t>ndustrielles, exportent avec succès dans l’UE et le monde entier. Surplex par exemple dispose de succursales dans onze pays européens, dont le Royaume Uni. La société-mère allemande, dont le siège se trouve à Düsseldorf, vend majoritairement des biens indu</w:t>
      </w:r>
      <w:r w:rsidRPr="0006129B">
        <w:rPr>
          <w:rFonts w:ascii="Open Sans" w:hAnsi="Open Sans" w:cs="Open Sans"/>
          <w:sz w:val="24"/>
          <w:szCs w:val="24"/>
        </w:rPr>
        <w:t>striels dans l’UE. La filiale britannique Surplex UK vend elle aussi une majorité de ses machines dans l’UE - la tendance est croissante. Un marché intérieur fonctionnel est la colonne vertébrale du commerce européen des machines. Mais celui-ci pourrait bi</w:t>
      </w:r>
      <w:r w:rsidRPr="0006129B">
        <w:rPr>
          <w:rFonts w:ascii="Open Sans" w:hAnsi="Open Sans" w:cs="Open Sans"/>
          <w:sz w:val="24"/>
          <w:szCs w:val="24"/>
        </w:rPr>
        <w:t xml:space="preserve">entôt s’arrêter sur les rivages de la Manche. Les chaînes de la logistique vont-elles alors s’effondrer ? Les camions formeront-ils des kilomètres d’embouteillages ? Les trafics aérien et naval </w:t>
      </w:r>
      <w:proofErr w:type="spellStart"/>
      <w:r w:rsidRPr="0006129B">
        <w:rPr>
          <w:rFonts w:ascii="Open Sans" w:hAnsi="Open Sans" w:cs="Open Sans"/>
          <w:sz w:val="24"/>
          <w:szCs w:val="24"/>
        </w:rPr>
        <w:t>seront-ils</w:t>
      </w:r>
      <w:proofErr w:type="spellEnd"/>
      <w:r w:rsidRPr="0006129B">
        <w:rPr>
          <w:rFonts w:ascii="Open Sans" w:hAnsi="Open Sans" w:cs="Open Sans"/>
          <w:sz w:val="24"/>
          <w:szCs w:val="24"/>
        </w:rPr>
        <w:t xml:space="preserve"> affectés ? Le secteur essaie de se préparer au Brex</w:t>
      </w:r>
      <w:r w:rsidRPr="0006129B">
        <w:rPr>
          <w:rFonts w:ascii="Open Sans" w:hAnsi="Open Sans" w:cs="Open Sans"/>
          <w:sz w:val="24"/>
          <w:szCs w:val="24"/>
        </w:rPr>
        <w:t xml:space="preserve">it. Mais la question capitale s’intitule : </w:t>
      </w:r>
      <w:r w:rsidRPr="0006129B">
        <w:rPr>
          <w:rFonts w:ascii="Open Sans" w:hAnsi="Open Sans" w:cs="Open Sans"/>
          <w:i/>
          <w:sz w:val="24"/>
          <w:szCs w:val="24"/>
        </w:rPr>
        <w:t>deal</w:t>
      </w:r>
      <w:r w:rsidRPr="0006129B">
        <w:rPr>
          <w:rFonts w:ascii="Open Sans" w:hAnsi="Open Sans" w:cs="Open Sans"/>
          <w:sz w:val="24"/>
          <w:szCs w:val="24"/>
        </w:rPr>
        <w:t xml:space="preserve"> ou </w:t>
      </w:r>
      <w:r w:rsidRPr="0006129B">
        <w:rPr>
          <w:rFonts w:ascii="Open Sans" w:hAnsi="Open Sans" w:cs="Open Sans"/>
          <w:i/>
          <w:sz w:val="24"/>
          <w:szCs w:val="24"/>
        </w:rPr>
        <w:t>no deal</w:t>
      </w:r>
      <w:r w:rsidRPr="0006129B">
        <w:rPr>
          <w:rFonts w:ascii="Open Sans" w:hAnsi="Open Sans" w:cs="Open Sans"/>
          <w:sz w:val="24"/>
          <w:szCs w:val="24"/>
        </w:rPr>
        <w:t xml:space="preserve"> ?</w:t>
      </w:r>
    </w:p>
    <w:p w14:paraId="271D8BF0" w14:textId="77777777" w:rsidR="007136ED" w:rsidRPr="0006129B" w:rsidRDefault="00383401">
      <w:pPr>
        <w:spacing w:before="120" w:after="120" w:line="300" w:lineRule="auto"/>
        <w:jc w:val="both"/>
        <w:rPr>
          <w:rFonts w:ascii="Open Sans" w:eastAsia="Verdana" w:hAnsi="Open Sans" w:cs="Open Sans"/>
          <w:sz w:val="24"/>
          <w:szCs w:val="24"/>
        </w:rPr>
      </w:pPr>
      <w:r w:rsidRPr="0006129B">
        <w:rPr>
          <w:rFonts w:ascii="Open Sans" w:hAnsi="Open Sans" w:cs="Open Sans"/>
          <w:sz w:val="24"/>
          <w:szCs w:val="24"/>
        </w:rPr>
        <w:t xml:space="preserve">Daniel </w:t>
      </w:r>
      <w:proofErr w:type="spellStart"/>
      <w:r w:rsidRPr="0006129B">
        <w:rPr>
          <w:rFonts w:ascii="Open Sans" w:hAnsi="Open Sans" w:cs="Open Sans"/>
          <w:sz w:val="24"/>
          <w:szCs w:val="24"/>
        </w:rPr>
        <w:t>Jankowiak</w:t>
      </w:r>
      <w:proofErr w:type="spellEnd"/>
      <w:r w:rsidRPr="0006129B">
        <w:rPr>
          <w:rFonts w:ascii="Open Sans" w:hAnsi="Open Sans" w:cs="Open Sans"/>
          <w:sz w:val="24"/>
          <w:szCs w:val="24"/>
        </w:rPr>
        <w:t>, directeur du contrôle des douanes et des exports chez Surplex, est sceptique :</w:t>
      </w:r>
      <w:proofErr w:type="gramStart"/>
      <w:r w:rsidRPr="0006129B">
        <w:rPr>
          <w:rFonts w:ascii="Open Sans" w:hAnsi="Open Sans" w:cs="Open Sans"/>
          <w:sz w:val="24"/>
          <w:szCs w:val="24"/>
        </w:rPr>
        <w:t xml:space="preserve"> «Si</w:t>
      </w:r>
      <w:proofErr w:type="gramEnd"/>
      <w:r w:rsidRPr="0006129B">
        <w:rPr>
          <w:rFonts w:ascii="Open Sans" w:hAnsi="Open Sans" w:cs="Open Sans"/>
          <w:sz w:val="24"/>
          <w:szCs w:val="24"/>
        </w:rPr>
        <w:t xml:space="preserve"> le commerce à venir doit être effectué selon les standards de l’OMC, les exportations de machi</w:t>
      </w:r>
      <w:r w:rsidRPr="0006129B">
        <w:rPr>
          <w:rFonts w:ascii="Open Sans" w:hAnsi="Open Sans" w:cs="Open Sans"/>
          <w:sz w:val="24"/>
          <w:szCs w:val="24"/>
        </w:rPr>
        <w:t>nes à destination du Royaume Uni ne prendront plus quelques jours, mais des mois entiers». Outre des délais considérables au niveau du transport des marchandises, il s’attend à de nouveaux obstacles légaux sous forme d’assujettissements supplémentaires à d</w:t>
      </w:r>
      <w:r w:rsidRPr="0006129B">
        <w:rPr>
          <w:rFonts w:ascii="Open Sans" w:hAnsi="Open Sans" w:cs="Open Sans"/>
          <w:sz w:val="24"/>
          <w:szCs w:val="24"/>
        </w:rPr>
        <w:t xml:space="preserve">es autorisations. Aux dires de </w:t>
      </w:r>
      <w:proofErr w:type="spellStart"/>
      <w:r w:rsidRPr="0006129B">
        <w:rPr>
          <w:rFonts w:ascii="Open Sans" w:hAnsi="Open Sans" w:cs="Open Sans"/>
          <w:sz w:val="24"/>
          <w:szCs w:val="24"/>
        </w:rPr>
        <w:t>Jankowiak</w:t>
      </w:r>
      <w:proofErr w:type="spellEnd"/>
      <w:r w:rsidRPr="0006129B">
        <w:rPr>
          <w:rFonts w:ascii="Open Sans" w:hAnsi="Open Sans" w:cs="Open Sans"/>
          <w:sz w:val="24"/>
          <w:szCs w:val="24"/>
        </w:rPr>
        <w:t xml:space="preserve">, cette perspective ne manque pas d’ironie, étant donné que les adeptes du Brexit n’avaient cessé de se plaindre de la bureaucratie bruxelloise. Mais un Brexit sans accord illustrerait d’un seul coup la valeur d’une </w:t>
      </w:r>
      <w:r w:rsidRPr="0006129B">
        <w:rPr>
          <w:rFonts w:ascii="Open Sans" w:hAnsi="Open Sans" w:cs="Open Sans"/>
          <w:sz w:val="24"/>
          <w:szCs w:val="24"/>
        </w:rPr>
        <w:t>unité de règles, de standards et de lois, par exemple en matière d’exportation de biens à double usage comme les machines-outils à haute précision.</w:t>
      </w:r>
    </w:p>
    <w:p w14:paraId="338E483C" w14:textId="77777777" w:rsidR="007136ED" w:rsidRPr="0006129B" w:rsidRDefault="00383401">
      <w:pPr>
        <w:spacing w:before="120" w:after="120" w:line="300" w:lineRule="auto"/>
        <w:jc w:val="both"/>
        <w:rPr>
          <w:rFonts w:ascii="Open Sans" w:eastAsia="Verdana" w:hAnsi="Open Sans" w:cs="Open Sans"/>
          <w:sz w:val="24"/>
          <w:szCs w:val="24"/>
        </w:rPr>
      </w:pPr>
      <w:r w:rsidRPr="0006129B">
        <w:rPr>
          <w:rFonts w:ascii="Open Sans" w:hAnsi="Open Sans" w:cs="Open Sans"/>
          <w:sz w:val="24"/>
          <w:szCs w:val="24"/>
        </w:rPr>
        <w:t xml:space="preserve">De l’autre côté de la Manche, la situation est vue plus positivement que prévu. John Heath, responsable des </w:t>
      </w:r>
      <w:r w:rsidRPr="0006129B">
        <w:rPr>
          <w:rFonts w:ascii="Open Sans" w:hAnsi="Open Sans" w:cs="Open Sans"/>
          <w:sz w:val="24"/>
          <w:szCs w:val="24"/>
        </w:rPr>
        <w:t>acquisitions chez Surplex UK (Londres), connaît les inquiétudes des PME britanniques. Son emploi consiste à soutenir des entreprises faisant face à une restructuration ou à une insolvabilité dans la vente de leur inventaire en surplus. Heath est surpris pa</w:t>
      </w:r>
      <w:r w:rsidRPr="0006129B">
        <w:rPr>
          <w:rFonts w:ascii="Open Sans" w:hAnsi="Open Sans" w:cs="Open Sans"/>
          <w:sz w:val="24"/>
          <w:szCs w:val="24"/>
        </w:rPr>
        <w:t>r la résilience des PME britanniques : le nombre d’insolvabilités a certes crû de 0,5% au cours des derniers mois, mais ce n’était pas une conséquence du Brexit. Cela concernait surtout des sociétés des secteurs construction et vente au détail, plutôt affe</w:t>
      </w:r>
      <w:r w:rsidRPr="0006129B">
        <w:rPr>
          <w:rFonts w:ascii="Open Sans" w:hAnsi="Open Sans" w:cs="Open Sans"/>
          <w:sz w:val="24"/>
          <w:szCs w:val="24"/>
        </w:rPr>
        <w:t xml:space="preserve">ctées par la numérisation. Les </w:t>
      </w:r>
      <w:r w:rsidRPr="0006129B">
        <w:rPr>
          <w:rFonts w:ascii="Open Sans" w:hAnsi="Open Sans" w:cs="Open Sans"/>
          <w:sz w:val="24"/>
          <w:szCs w:val="24"/>
        </w:rPr>
        <w:lastRenderedPageBreak/>
        <w:t>entreprises de fabrication, par exemple dans les filières de transformation du métal et du bois, n’ont pas enregistré de hausse significative des insolvabilités.</w:t>
      </w:r>
      <w:r w:rsidRPr="0006129B">
        <w:rPr>
          <w:rFonts w:ascii="Open Sans" w:hAnsi="Open Sans" w:cs="Open Sans"/>
          <w:noProof/>
          <w:sz w:val="24"/>
          <w:szCs w:val="24"/>
        </w:rPr>
        <w:drawing>
          <wp:anchor distT="114300" distB="114300" distL="114300" distR="114300" simplePos="0" relativeHeight="251658240" behindDoc="0" locked="0" layoutInCell="1" hidden="0" allowOverlap="1" wp14:anchorId="745C7A38" wp14:editId="1AC9A949">
            <wp:simplePos x="0" y="0"/>
            <wp:positionH relativeFrom="column">
              <wp:posOffset>3</wp:posOffset>
            </wp:positionH>
            <wp:positionV relativeFrom="paragraph">
              <wp:posOffset>859293</wp:posOffset>
            </wp:positionV>
            <wp:extent cx="1353137" cy="2005013"/>
            <wp:effectExtent l="0" t="0" r="0" b="0"/>
            <wp:wrapSquare wrapText="bothSides" distT="114300" distB="11430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353137" cy="2005013"/>
                    </a:xfrm>
                    <a:prstGeom prst="rect">
                      <a:avLst/>
                    </a:prstGeom>
                    <a:ln/>
                  </pic:spPr>
                </pic:pic>
              </a:graphicData>
            </a:graphic>
          </wp:anchor>
        </w:drawing>
      </w:r>
    </w:p>
    <w:p w14:paraId="7475FBA9" w14:textId="77777777" w:rsidR="007136ED" w:rsidRPr="0006129B" w:rsidRDefault="00383401">
      <w:pPr>
        <w:spacing w:before="120" w:after="120" w:line="300" w:lineRule="auto"/>
        <w:jc w:val="both"/>
        <w:rPr>
          <w:rFonts w:ascii="Open Sans" w:eastAsia="Verdana" w:hAnsi="Open Sans" w:cs="Open Sans"/>
          <w:sz w:val="24"/>
          <w:szCs w:val="24"/>
        </w:rPr>
      </w:pPr>
      <w:r w:rsidRPr="0006129B">
        <w:rPr>
          <w:rFonts w:ascii="Open Sans" w:hAnsi="Open Sans" w:cs="Open Sans"/>
          <w:sz w:val="24"/>
          <w:szCs w:val="24"/>
        </w:rPr>
        <w:t>D’autres experts présentent également un tableau nuancé. De l’</w:t>
      </w:r>
      <w:r w:rsidRPr="0006129B">
        <w:rPr>
          <w:rFonts w:ascii="Open Sans" w:hAnsi="Open Sans" w:cs="Open Sans"/>
          <w:sz w:val="24"/>
          <w:szCs w:val="24"/>
        </w:rPr>
        <w:t>avis général, le Brexit devrait causer un recul des investissements et des exportations. En revanche, le marché du travail semble connaître un développement positif. Selon des sondages, 75% des PME britanniques souhaitent embaucher de nouveaux collaborateu</w:t>
      </w:r>
      <w:r w:rsidRPr="0006129B">
        <w:rPr>
          <w:rFonts w:ascii="Open Sans" w:hAnsi="Open Sans" w:cs="Open Sans"/>
          <w:sz w:val="24"/>
          <w:szCs w:val="24"/>
        </w:rPr>
        <w:t xml:space="preserve">rs dans le courant de l’année en cours. Mike Cherry de la </w:t>
      </w:r>
      <w:proofErr w:type="spellStart"/>
      <w:r w:rsidRPr="0006129B">
        <w:rPr>
          <w:rFonts w:ascii="Open Sans" w:hAnsi="Open Sans" w:cs="Open Sans"/>
          <w:i/>
          <w:sz w:val="24"/>
          <w:szCs w:val="24"/>
        </w:rPr>
        <w:t>Federation</w:t>
      </w:r>
      <w:proofErr w:type="spellEnd"/>
      <w:r w:rsidRPr="0006129B">
        <w:rPr>
          <w:rFonts w:ascii="Open Sans" w:hAnsi="Open Sans" w:cs="Open Sans"/>
          <w:i/>
          <w:sz w:val="24"/>
          <w:szCs w:val="24"/>
        </w:rPr>
        <w:t xml:space="preserve"> of Small Businesses</w:t>
      </w:r>
      <w:r w:rsidRPr="0006129B">
        <w:rPr>
          <w:rFonts w:ascii="Open Sans" w:hAnsi="Open Sans" w:cs="Open Sans"/>
          <w:sz w:val="24"/>
          <w:szCs w:val="24"/>
        </w:rPr>
        <w:t xml:space="preserve"> répète inlassablement que c’est la façon dont le Brexit se fera qui sera déterminante. Le Dr. Ross Brown du </w:t>
      </w:r>
      <w:r w:rsidRPr="0006129B">
        <w:rPr>
          <w:rFonts w:ascii="Open Sans" w:hAnsi="Open Sans" w:cs="Open Sans"/>
          <w:i/>
          <w:sz w:val="24"/>
          <w:szCs w:val="24"/>
        </w:rPr>
        <w:t xml:space="preserve">Center for </w:t>
      </w:r>
      <w:proofErr w:type="spellStart"/>
      <w:r w:rsidRPr="0006129B">
        <w:rPr>
          <w:rFonts w:ascii="Open Sans" w:hAnsi="Open Sans" w:cs="Open Sans"/>
          <w:i/>
          <w:sz w:val="24"/>
          <w:szCs w:val="24"/>
        </w:rPr>
        <w:t>Responsible</w:t>
      </w:r>
      <w:proofErr w:type="spellEnd"/>
      <w:r w:rsidRPr="0006129B">
        <w:rPr>
          <w:rFonts w:ascii="Open Sans" w:hAnsi="Open Sans" w:cs="Open Sans"/>
          <w:i/>
          <w:sz w:val="24"/>
          <w:szCs w:val="24"/>
        </w:rPr>
        <w:t xml:space="preserve"> Banking and Finance</w:t>
      </w:r>
      <w:r w:rsidRPr="0006129B">
        <w:rPr>
          <w:rFonts w:ascii="Open Sans" w:hAnsi="Open Sans" w:cs="Open Sans"/>
          <w:sz w:val="24"/>
          <w:szCs w:val="24"/>
        </w:rPr>
        <w:t>, quant à lui, en</w:t>
      </w:r>
      <w:r w:rsidRPr="0006129B">
        <w:rPr>
          <w:rFonts w:ascii="Open Sans" w:hAnsi="Open Sans" w:cs="Open Sans"/>
          <w:sz w:val="24"/>
          <w:szCs w:val="24"/>
        </w:rPr>
        <w:t>visage même que certaines entreprises puissent profiter d’un scénario sans accord.</w:t>
      </w:r>
    </w:p>
    <w:p w14:paraId="6D4488BD" w14:textId="77777777" w:rsidR="007136ED" w:rsidRPr="0006129B" w:rsidRDefault="00383401">
      <w:pPr>
        <w:spacing w:before="120" w:after="120" w:line="300" w:lineRule="auto"/>
        <w:jc w:val="both"/>
        <w:rPr>
          <w:rFonts w:ascii="Open Sans" w:eastAsia="Verdana" w:hAnsi="Open Sans" w:cs="Open Sans"/>
          <w:sz w:val="24"/>
          <w:szCs w:val="24"/>
        </w:rPr>
      </w:pPr>
      <w:r w:rsidRPr="0006129B">
        <w:rPr>
          <w:rFonts w:ascii="Open Sans" w:hAnsi="Open Sans" w:cs="Open Sans"/>
          <w:sz w:val="24"/>
          <w:szCs w:val="24"/>
        </w:rPr>
        <w:t>L’industrie automobile britannique ne devrait toutefois guère en profiter. Ce secteur est sous pression, même sans Brexit. Aux dires d’une étude de l’université d’Oxford, la</w:t>
      </w:r>
      <w:r w:rsidRPr="0006129B">
        <w:rPr>
          <w:rFonts w:ascii="Open Sans" w:hAnsi="Open Sans" w:cs="Open Sans"/>
          <w:sz w:val="24"/>
          <w:szCs w:val="24"/>
        </w:rPr>
        <w:t xml:space="preserve"> querelle commerciale avec les États-Unis, des questions écologiques et des problèmes structurels </w:t>
      </w:r>
      <w:proofErr w:type="gramStart"/>
      <w:r w:rsidRPr="0006129B">
        <w:rPr>
          <w:rFonts w:ascii="Open Sans" w:hAnsi="Open Sans" w:cs="Open Sans"/>
          <w:sz w:val="24"/>
          <w:szCs w:val="24"/>
        </w:rPr>
        <w:t>ont</w:t>
      </w:r>
      <w:proofErr w:type="gramEnd"/>
      <w:r w:rsidRPr="0006129B">
        <w:rPr>
          <w:rFonts w:ascii="Open Sans" w:hAnsi="Open Sans" w:cs="Open Sans"/>
          <w:sz w:val="24"/>
          <w:szCs w:val="24"/>
        </w:rPr>
        <w:t xml:space="preserve"> provoqué un recul de 80% des investissements au cours des dernières années. En cas de sortie sans accord du marché intérieur, cela risque d’être la chute </w:t>
      </w:r>
      <w:r w:rsidRPr="0006129B">
        <w:rPr>
          <w:rFonts w:ascii="Open Sans" w:hAnsi="Open Sans" w:cs="Open Sans"/>
          <w:sz w:val="24"/>
          <w:szCs w:val="24"/>
        </w:rPr>
        <w:t>libre. La production de voitures pourrait baisser de 50% d’ici 2025. Avec des conséquences dramatiques pour les emplois et les régions concernées, surtout le Nord-Est de l’Angleterre, ainsi que l’Écosse et le Pays de Galles. La question : Deal ou No Deal p</w:t>
      </w:r>
      <w:r w:rsidRPr="0006129B">
        <w:rPr>
          <w:rFonts w:ascii="Open Sans" w:hAnsi="Open Sans" w:cs="Open Sans"/>
          <w:sz w:val="24"/>
          <w:szCs w:val="24"/>
        </w:rPr>
        <w:t>ourrait devenir la question fatidique de l’industrie automobile britannique.</w:t>
      </w:r>
    </w:p>
    <w:p w14:paraId="793EAEB9" w14:textId="77777777" w:rsidR="007136ED" w:rsidRPr="0006129B" w:rsidRDefault="00383401">
      <w:pPr>
        <w:spacing w:before="120" w:after="120" w:line="300" w:lineRule="auto"/>
        <w:jc w:val="both"/>
        <w:rPr>
          <w:rFonts w:ascii="Open Sans" w:eastAsia="Verdana" w:hAnsi="Open Sans" w:cs="Open Sans"/>
          <w:sz w:val="24"/>
          <w:szCs w:val="24"/>
        </w:rPr>
      </w:pPr>
      <w:r w:rsidRPr="0006129B">
        <w:rPr>
          <w:rFonts w:ascii="Open Sans" w:hAnsi="Open Sans" w:cs="Open Sans"/>
          <w:sz w:val="24"/>
          <w:szCs w:val="24"/>
        </w:rPr>
        <w:t>Finalement, un Brexit souple, au cours duquel Londres et Bruxelles accorderaient les futures règles commerciales selon leurs besoins mutuels, serait tout à fait supportable pour l</w:t>
      </w:r>
      <w:r w:rsidRPr="0006129B">
        <w:rPr>
          <w:rFonts w:ascii="Open Sans" w:hAnsi="Open Sans" w:cs="Open Sans"/>
          <w:sz w:val="24"/>
          <w:szCs w:val="24"/>
        </w:rPr>
        <w:t>es PME. Les entreprises se sont préparées à la sortie de l’UE et agissent avec succès dans un environnement difficile. En revanche, un Brexit dur, qui entraînerait des relations commerciales selon les standards de l’OMC, aurait des conséquences dramatiques</w:t>
      </w:r>
      <w:r w:rsidRPr="0006129B">
        <w:rPr>
          <w:rFonts w:ascii="Open Sans" w:hAnsi="Open Sans" w:cs="Open Sans"/>
          <w:sz w:val="24"/>
          <w:szCs w:val="24"/>
        </w:rPr>
        <w:t xml:space="preserve"> non seulement pour les PME, mais pour l’ensemble de l’économie britannique. La </w:t>
      </w:r>
      <w:proofErr w:type="spellStart"/>
      <w:r w:rsidRPr="0006129B">
        <w:rPr>
          <w:rFonts w:ascii="Open Sans" w:hAnsi="Open Sans" w:cs="Open Sans"/>
          <w:i/>
          <w:sz w:val="24"/>
          <w:szCs w:val="24"/>
        </w:rPr>
        <w:t>Confederation</w:t>
      </w:r>
      <w:proofErr w:type="spellEnd"/>
      <w:r w:rsidRPr="0006129B">
        <w:rPr>
          <w:rFonts w:ascii="Open Sans" w:hAnsi="Open Sans" w:cs="Open Sans"/>
          <w:i/>
          <w:sz w:val="24"/>
          <w:szCs w:val="24"/>
        </w:rPr>
        <w:t xml:space="preserve"> of British </w:t>
      </w:r>
      <w:proofErr w:type="spellStart"/>
      <w:r w:rsidRPr="0006129B">
        <w:rPr>
          <w:rFonts w:ascii="Open Sans" w:hAnsi="Open Sans" w:cs="Open Sans"/>
          <w:i/>
          <w:sz w:val="24"/>
          <w:szCs w:val="24"/>
        </w:rPr>
        <w:t>Industry</w:t>
      </w:r>
      <w:proofErr w:type="spellEnd"/>
      <w:r w:rsidRPr="0006129B">
        <w:rPr>
          <w:rFonts w:ascii="Open Sans" w:hAnsi="Open Sans" w:cs="Open Sans"/>
          <w:sz w:val="24"/>
          <w:szCs w:val="24"/>
        </w:rPr>
        <w:t xml:space="preserve"> (CBI) avertit que dans un tel cas, le produit intérieur brut du Royaume Uni pourrait diminuer de 8%.</w:t>
      </w:r>
    </w:p>
    <w:p w14:paraId="74C1D6FB" w14:textId="252B91EB" w:rsidR="007136ED" w:rsidRPr="0006129B" w:rsidRDefault="00383401">
      <w:pPr>
        <w:spacing w:before="120" w:after="120" w:line="300" w:lineRule="auto"/>
        <w:jc w:val="both"/>
        <w:rPr>
          <w:rFonts w:ascii="Open Sans" w:eastAsia="Verdana" w:hAnsi="Open Sans" w:cs="Open Sans"/>
          <w:sz w:val="24"/>
          <w:szCs w:val="24"/>
        </w:rPr>
      </w:pPr>
      <w:r w:rsidRPr="0006129B">
        <w:rPr>
          <w:rFonts w:ascii="Open Sans" w:hAnsi="Open Sans" w:cs="Open Sans"/>
          <w:sz w:val="24"/>
          <w:szCs w:val="24"/>
        </w:rPr>
        <w:lastRenderedPageBreak/>
        <w:t>Pour une entreprise de classe moyenne com</w:t>
      </w:r>
      <w:r w:rsidRPr="0006129B">
        <w:rPr>
          <w:rFonts w:ascii="Open Sans" w:hAnsi="Open Sans" w:cs="Open Sans"/>
          <w:sz w:val="24"/>
          <w:szCs w:val="24"/>
        </w:rPr>
        <w:t xml:space="preserve">me </w:t>
      </w:r>
      <w:hyperlink r:id="rId8" w:history="1">
        <w:r w:rsidRPr="0006129B">
          <w:rPr>
            <w:rStyle w:val="Hyperlink"/>
            <w:rFonts w:ascii="Open Sans" w:hAnsi="Open Sans" w:cs="Open Sans"/>
            <w:sz w:val="24"/>
            <w:szCs w:val="24"/>
          </w:rPr>
          <w:t>Surplex</w:t>
        </w:r>
      </w:hyperlink>
      <w:r w:rsidRPr="0006129B">
        <w:rPr>
          <w:rFonts w:ascii="Open Sans" w:hAnsi="Open Sans" w:cs="Open Sans"/>
          <w:sz w:val="24"/>
          <w:szCs w:val="24"/>
        </w:rPr>
        <w:t>, la variante sans accord pourrait entraîner des surcoûts, des délais dans le transport de machines ainsi que des procédures d’autorisation plus longues et plus compliquées. Donc du sable dans l’engrenage d’une situation déjà fragile en soi. Même</w:t>
      </w:r>
      <w:r w:rsidRPr="0006129B">
        <w:rPr>
          <w:rFonts w:ascii="Open Sans" w:hAnsi="Open Sans" w:cs="Open Sans"/>
          <w:sz w:val="24"/>
          <w:szCs w:val="24"/>
        </w:rPr>
        <w:t xml:space="preserve"> en tenant compte des effets positifs d’un Brexit sans accord, par exemple les taux de change avantageux ou bien une offre accrue de machines d’occasion, les effets négatifs dominent nettement. Une hausse des coûts et de la bureaucratie est toujours néfast</w:t>
      </w:r>
      <w:r w:rsidRPr="0006129B">
        <w:rPr>
          <w:rFonts w:ascii="Open Sans" w:hAnsi="Open Sans" w:cs="Open Sans"/>
          <w:sz w:val="24"/>
          <w:szCs w:val="24"/>
        </w:rPr>
        <w:t xml:space="preserve">e pour la croissance et la prospérité. C’est pour cela qu’il faudrait éviter le scénario du </w:t>
      </w:r>
      <w:r w:rsidRPr="0006129B">
        <w:rPr>
          <w:rFonts w:ascii="Open Sans" w:hAnsi="Open Sans" w:cs="Open Sans"/>
          <w:i/>
          <w:sz w:val="24"/>
          <w:szCs w:val="24"/>
        </w:rPr>
        <w:t>no deal</w:t>
      </w:r>
      <w:r w:rsidRPr="0006129B">
        <w:rPr>
          <w:rFonts w:ascii="Open Sans" w:hAnsi="Open Sans" w:cs="Open Sans"/>
          <w:sz w:val="24"/>
          <w:szCs w:val="24"/>
        </w:rPr>
        <w:t>. Heureusement, aucune majorité politique n’est visible pour ce scénario catastrophe. C’est au contraire le désir de revenir à la raison économique qui croît</w:t>
      </w:r>
      <w:r w:rsidRPr="0006129B">
        <w:rPr>
          <w:rFonts w:ascii="Open Sans" w:hAnsi="Open Sans" w:cs="Open Sans"/>
          <w:sz w:val="24"/>
          <w:szCs w:val="24"/>
        </w:rPr>
        <w:t xml:space="preserve"> en ce moment dans l’Europe entière. </w:t>
      </w:r>
    </w:p>
    <w:p w14:paraId="4B614B0D" w14:textId="77777777" w:rsidR="007136ED" w:rsidRPr="0006129B" w:rsidRDefault="007136ED">
      <w:pPr>
        <w:spacing w:before="120" w:after="120" w:line="300" w:lineRule="auto"/>
        <w:jc w:val="both"/>
        <w:rPr>
          <w:rFonts w:ascii="Open Sans" w:eastAsia="Verdana" w:hAnsi="Open Sans" w:cs="Open Sans"/>
          <w:sz w:val="24"/>
          <w:szCs w:val="24"/>
        </w:rPr>
      </w:pPr>
    </w:p>
    <w:sectPr w:rsidR="007136ED" w:rsidRPr="0006129B">
      <w:headerReference w:type="default" r:id="rId9"/>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668F69" w14:textId="77777777" w:rsidR="00383401" w:rsidRDefault="00383401" w:rsidP="0006129B">
      <w:pPr>
        <w:spacing w:line="240" w:lineRule="auto"/>
      </w:pPr>
      <w:r>
        <w:separator/>
      </w:r>
    </w:p>
  </w:endnote>
  <w:endnote w:type="continuationSeparator" w:id="0">
    <w:p w14:paraId="1589408B" w14:textId="77777777" w:rsidR="00383401" w:rsidRDefault="00383401" w:rsidP="000612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2053FA" w14:textId="77777777" w:rsidR="00383401" w:rsidRDefault="00383401" w:rsidP="0006129B">
      <w:pPr>
        <w:spacing w:line="240" w:lineRule="auto"/>
      </w:pPr>
      <w:r>
        <w:separator/>
      </w:r>
    </w:p>
  </w:footnote>
  <w:footnote w:type="continuationSeparator" w:id="0">
    <w:p w14:paraId="3E092824" w14:textId="77777777" w:rsidR="00383401" w:rsidRDefault="00383401" w:rsidP="0006129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6FA80" w14:textId="4633F92D" w:rsidR="0006129B" w:rsidRDefault="0006129B" w:rsidP="0006129B">
    <w:pPr>
      <w:pStyle w:val="Kopfzeile"/>
      <w:tabs>
        <w:tab w:val="clear" w:pos="4536"/>
        <w:tab w:val="clear" w:pos="9072"/>
        <w:tab w:val="left" w:pos="2475"/>
      </w:tabs>
    </w:pPr>
    <w:r>
      <w:rPr>
        <w:noProof/>
      </w:rPr>
      <w:drawing>
        <wp:anchor distT="0" distB="0" distL="114300" distR="114300" simplePos="0" relativeHeight="251658240" behindDoc="1" locked="0" layoutInCell="1" allowOverlap="1" wp14:anchorId="00C6EA48" wp14:editId="60608B61">
          <wp:simplePos x="0" y="0"/>
          <wp:positionH relativeFrom="column">
            <wp:posOffset>-47625</wp:posOffset>
          </wp:positionH>
          <wp:positionV relativeFrom="paragraph">
            <wp:posOffset>-619125</wp:posOffset>
          </wp:positionV>
          <wp:extent cx="1952625" cy="1379748"/>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2625" cy="1379748"/>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36ED"/>
    <w:rsid w:val="0006129B"/>
    <w:rsid w:val="00383401"/>
    <w:rsid w:val="007136E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C4C5E3"/>
  <w15:docId w15:val="{030DBC9E-A128-4A08-A1B1-8FD9166CD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fr-FR" w:eastAsia="de-DE"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00" w:after="120"/>
      <w:outlineLvl w:val="0"/>
    </w:pPr>
    <w:rPr>
      <w:sz w:val="40"/>
      <w:szCs w:val="40"/>
    </w:rPr>
  </w:style>
  <w:style w:type="paragraph" w:styleId="berschrift2">
    <w:name w:val="heading 2"/>
    <w:basedOn w:val="Standard"/>
    <w:next w:val="Standard"/>
    <w:uiPriority w:val="9"/>
    <w:semiHidden/>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paragraph" w:styleId="Kopfzeile">
    <w:name w:val="header"/>
    <w:basedOn w:val="Standard"/>
    <w:link w:val="KopfzeileZchn"/>
    <w:uiPriority w:val="99"/>
    <w:unhideWhenUsed/>
    <w:rsid w:val="0006129B"/>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06129B"/>
  </w:style>
  <w:style w:type="paragraph" w:styleId="Fuzeile">
    <w:name w:val="footer"/>
    <w:basedOn w:val="Standard"/>
    <w:link w:val="FuzeileZchn"/>
    <w:uiPriority w:val="99"/>
    <w:unhideWhenUsed/>
    <w:rsid w:val="0006129B"/>
    <w:pPr>
      <w:tabs>
        <w:tab w:val="center" w:pos="4536"/>
        <w:tab w:val="right" w:pos="9072"/>
      </w:tabs>
      <w:spacing w:line="240" w:lineRule="auto"/>
    </w:pPr>
  </w:style>
  <w:style w:type="character" w:customStyle="1" w:styleId="FuzeileZchn">
    <w:name w:val="Fußzeile Zchn"/>
    <w:basedOn w:val="Absatz-Standardschriftart"/>
    <w:link w:val="Fuzeile"/>
    <w:uiPriority w:val="99"/>
    <w:rsid w:val="0006129B"/>
  </w:style>
  <w:style w:type="character" w:styleId="Hyperlink">
    <w:name w:val="Hyperlink"/>
    <w:basedOn w:val="Absatz-Standardschriftart"/>
    <w:uiPriority w:val="99"/>
    <w:unhideWhenUsed/>
    <w:rsid w:val="0006129B"/>
    <w:rPr>
      <w:color w:val="0000FF" w:themeColor="hyperlink"/>
      <w:u w:val="single"/>
    </w:rPr>
  </w:style>
  <w:style w:type="character" w:styleId="NichtaufgelsteErwhnung">
    <w:name w:val="Unresolved Mention"/>
    <w:basedOn w:val="Absatz-Standardschriftart"/>
    <w:uiPriority w:val="99"/>
    <w:semiHidden/>
    <w:unhideWhenUsed/>
    <w:rsid w:val="000612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www.surplex.com/fr" TargetMode="External"/><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934</Words>
  <Characters>5887</Characters>
  <Application>Microsoft Office Word</Application>
  <DocSecurity>0</DocSecurity>
  <Lines>49</Lines>
  <Paragraphs>13</Paragraphs>
  <ScaleCrop>false</ScaleCrop>
  <Company/>
  <LinksUpToDate>false</LinksUpToDate>
  <CharactersWithSpaces>6808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Ines Feller | Surplex</cp:lastModifiedBy>
  <cp:revision>2</cp:revision>
  <dcterms:created xsi:type="dcterms:W3CDTF">2020-04-23T13:29:00Z</dcterms:created>
  <dcterms:modified xsi:type="dcterms:W3CDTF">2020-04-23T13:32:00Z</dcterms:modified>
</cp:coreProperties>
</file>